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7796" w14:textId="16A6786A" w:rsidR="00066217" w:rsidRDefault="00066217" w:rsidP="008D7AA7">
      <w:pPr>
        <w:spacing w:after="120"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noProof/>
          <w:sz w:val="22"/>
          <w:szCs w:val="22"/>
        </w:rPr>
        <w:drawing>
          <wp:inline distT="0" distB="0" distL="0" distR="0" wp14:anchorId="62AA7812" wp14:editId="17B5AEB4">
            <wp:extent cx="4443933" cy="888971"/>
            <wp:effectExtent l="0" t="0" r="0" b="6985"/>
            <wp:docPr id="182593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750" cy="89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37BDA" w14:textId="77777777" w:rsidR="003B6FB6" w:rsidRPr="003B6FB6" w:rsidRDefault="003B6FB6" w:rsidP="001A139F">
      <w:pPr>
        <w:pStyle w:val="Title"/>
        <w:jc w:val="center"/>
        <w:rPr>
          <w:color w:val="1F4E79"/>
          <w:lang w:val="en-GB"/>
        </w:rPr>
      </w:pPr>
      <w:r>
        <w:rPr>
          <w:b/>
          <w:bCs/>
          <w:color w:val="1F4E79"/>
        </w:rPr>
        <w:t>Basic Pharmacoepidemiology Course</w:t>
      </w:r>
    </w:p>
    <w:p w14:paraId="4E23232D" w14:textId="77777777" w:rsidR="00E315D7" w:rsidRPr="00ED513B" w:rsidRDefault="006E39D1">
      <w:pPr>
        <w:pStyle w:val="Subtitle"/>
        <w:spacing w:after="200"/>
        <w:jc w:val="center"/>
        <w:rPr>
          <w:lang w:val="en-GB"/>
        </w:rPr>
      </w:pPr>
      <w:r>
        <w:rPr>
          <w:b/>
          <w:bCs/>
        </w:rPr>
        <w:t>Teachers: Anton Pottegård and Helene Kildegaard</w:t>
      </w:r>
    </w:p>
    <w:p w14:paraId="40B6FB8B" w14:textId="4FD7D8DF" w:rsidR="00116F0A" w:rsidRPr="008D7AA7" w:rsidRDefault="006E39D1" w:rsidP="008D7AA7">
      <w:pPr>
        <w:spacing w:after="280"/>
        <w:jc w:val="center"/>
        <w:rPr>
          <w:lang w:val="da-DK"/>
        </w:rPr>
      </w:pPr>
      <w:r>
        <w:rPr>
          <w:b/>
          <w:sz w:val="22"/>
          <w:szCs w:val="22"/>
          <w:lang w:val="da-DK"/>
        </w:rPr>
        <w:t>Date:</w:t>
      </w:r>
      <w:r>
        <w:rPr>
          <w:sz w:val="22"/>
          <w:szCs w:val="22"/>
          <w:lang w:val="da-DK"/>
        </w:rPr>
        <w:t xml:space="preserve"> October 28, 2026   |   </w:t>
      </w:r>
      <w:r>
        <w:rPr>
          <w:b/>
          <w:sz w:val="22"/>
          <w:szCs w:val="22"/>
          <w:lang w:val="da-DK"/>
        </w:rPr>
        <w:t>Time:</w:t>
      </w:r>
      <w:r>
        <w:rPr>
          <w:sz w:val="22"/>
          <w:szCs w:val="22"/>
          <w:lang w:val="da-DK"/>
        </w:rPr>
        <w:t xml:space="preserve"> 09:00–17:00</w:t>
      </w:r>
    </w:p>
    <w:tbl>
      <w:tblPr>
        <w:tblStyle w:val="GridTable4-Accent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1"/>
        <w:gridCol w:w="7887"/>
      </w:tblGrid>
      <w:tr w:rsidR="00A05676" w14:paraId="1366EF64" w14:textId="77777777">
        <w:tc>
          <w:tcPr>
            <w:tcW w:w="90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1F4E79"/>
            <w:hideMark/>
          </w:tcPr>
          <w:p w14:paraId="46DCCA27" w14:textId="77777777" w:rsidR="00A05676" w:rsidRDefault="00A05676">
            <w:pPr>
              <w:spacing w:after="160"/>
              <w:rPr>
                <w:lang w:eastAsia="zh-TW"/>
              </w:rPr>
            </w:pPr>
            <w:r>
              <w:rPr>
                <w:b/>
                <w:bCs/>
                <w:color w:val="FFFFFF"/>
              </w:rPr>
              <w:t>Time</w:t>
            </w:r>
          </w:p>
        </w:tc>
        <w:tc>
          <w:tcPr>
            <w:tcW w:w="4100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1F4E79"/>
            <w:hideMark/>
          </w:tcPr>
          <w:p w14:paraId="1F441F06" w14:textId="77777777" w:rsidR="00A05676" w:rsidRDefault="00A05676">
            <w:pPr>
              <w:spacing w:after="160"/>
            </w:pPr>
            <w:r>
              <w:rPr>
                <w:b/>
                <w:bCs/>
                <w:color w:val="FFFFFF"/>
              </w:rPr>
              <w:t>Program</w:t>
            </w:r>
          </w:p>
        </w:tc>
      </w:tr>
      <w:tr w:rsidR="00A56A5E" w14:paraId="0A911DA7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14:paraId="6EFA8A5E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08:30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1C9B3D73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Breakfast and coffee</w:t>
            </w:r>
          </w:p>
        </w:tc>
      </w:tr>
      <w:tr w:rsidR="00A56A5E" w14:paraId="5CFF0B8B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14:paraId="7C2B3DF8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09:00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21F55D0A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Welcome and presentation</w:t>
            </w:r>
          </w:p>
        </w:tc>
      </w:tr>
      <w:tr w:rsidR="00A56A5E" w14:paraId="1E9A91EB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14:paraId="3F6AB534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09:15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7BB66055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Introduction to pharmacoepidemiology</w:t>
            </w:r>
            <w:r>
              <w:t xml:space="preserve"> (AP)</w:t>
            </w:r>
          </w:p>
        </w:tc>
      </w:tr>
      <w:tr w:rsidR="00A56A5E" w14:paraId="1F5BDA95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14:paraId="2ADCB3B9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10:15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6FE78164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Break</w:t>
            </w:r>
          </w:p>
        </w:tc>
      </w:tr>
      <w:tr w:rsidR="00A56A5E" w14:paraId="7C7587FB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14:paraId="21DD4658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40E06AFF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Choosing the right study design</w:t>
            </w:r>
            <w:r>
              <w:t xml:space="preserve"> (HK)</w:t>
            </w:r>
          </w:p>
        </w:tc>
      </w:tr>
      <w:tr w:rsidR="00A56A5E" w14:paraId="43C04B56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14:paraId="43EEB619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11:30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37CCB81F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Introduction to target trial emulation</w:t>
            </w:r>
            <w:r>
              <w:t xml:space="preserve"> (HK)</w:t>
            </w:r>
          </w:p>
        </w:tc>
      </w:tr>
      <w:tr w:rsidR="00A56A5E" w14:paraId="699C0F45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14:paraId="4317066C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12:00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655E3174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Lunch</w:t>
            </w:r>
          </w:p>
        </w:tc>
      </w:tr>
      <w:tr w:rsidR="00A56A5E" w14:paraId="0D28D18A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14:paraId="2302CBFF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12:45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3D58A7C4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Recap of the morning and questions</w:t>
            </w:r>
          </w:p>
        </w:tc>
      </w:tr>
      <w:tr w:rsidR="00A56A5E" w14:paraId="5491E5E1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14:paraId="71FB4B9C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50908D84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Pitch a problem</w:t>
            </w:r>
            <w:r>
              <w:t xml:space="preserve"> (AP/HK)</w:t>
            </w:r>
          </w:p>
        </w:tc>
      </w:tr>
      <w:tr w:rsidR="00A56A5E" w14:paraId="316477A7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14:paraId="7C2CDC46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600B6D14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Considerations on exposure and outcome ascertainment</w:t>
            </w:r>
            <w:r>
              <w:t xml:space="preserve"> (AP)</w:t>
            </w:r>
          </w:p>
        </w:tc>
      </w:tr>
      <w:tr w:rsidR="00A56A5E" w14:paraId="0A98BD36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14:paraId="764EFDE8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14:45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4F6FAEFB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Coffee and cake</w:t>
            </w:r>
          </w:p>
        </w:tc>
      </w:tr>
      <w:tr w:rsidR="00A56A5E" w14:paraId="7EAAF883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14:paraId="209F74EB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15:15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20552CF8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Systematic errors</w:t>
            </w:r>
            <w:r>
              <w:t xml:space="preserve"> (AP)</w:t>
            </w:r>
          </w:p>
        </w:tc>
      </w:tr>
      <w:tr w:rsidR="00A56A5E" w14:paraId="46F3CF11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14:paraId="000CB24E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0220FF6E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Transparency and reproducibility</w:t>
            </w:r>
            <w:r>
              <w:t xml:space="preserve"> (AP)</w:t>
            </w:r>
          </w:p>
        </w:tc>
      </w:tr>
      <w:tr w:rsidR="00A56A5E" w14:paraId="54DDE945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14:paraId="125B97D6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16:30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5EDCBA24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Recap of the full day and questions</w:t>
            </w:r>
          </w:p>
        </w:tc>
      </w:tr>
      <w:tr w:rsidR="00A56A5E" w14:paraId="2F4CBA17" w14:textId="77777777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14:paraId="604ACF03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17:00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14:paraId="30F482DA" w14:textId="77777777" w:rsidR="00A56A5E" w:rsidRDefault="00A34349">
            <w:pPr>
              <w:spacing w:after="160"/>
            </w:pPr>
            <w:r>
              <w:rPr>
                <w:b/>
                <w:bCs/>
                <w:color w:val="1F4E79"/>
              </w:rPr>
              <w:t>Networking and dinner</w:t>
            </w:r>
          </w:p>
        </w:tc>
      </w:tr>
    </w:tbl>
    <w:p w14:paraId="2D8BD67A" w14:textId="77777777" w:rsidR="00E315D7" w:rsidRDefault="00E315D7">
      <w:pPr>
        <w:rPr>
          <w:lang w:val="da-DK"/>
        </w:rPr>
      </w:pPr>
    </w:p>
    <w:p w14:paraId="27015DB2" w14:textId="77777777" w:rsidR="003B3D46" w:rsidRDefault="003B3D46">
      <w:pPr>
        <w:rPr>
          <w:lang w:val="da-DK"/>
        </w:rPr>
      </w:pPr>
    </w:p>
    <w:p w14:paraId="04C3A696" w14:textId="4742CD32" w:rsidR="003B3D46" w:rsidRDefault="008D7AA7" w:rsidP="008D7AA7">
      <w:pPr>
        <w:jc w:val="center"/>
        <w:rPr>
          <w:lang w:val="da-DK"/>
        </w:rPr>
      </w:pPr>
      <w:r>
        <w:rPr>
          <w:noProof/>
        </w:rPr>
        <w:drawing>
          <wp:inline distT="0" distB="0" distL="0" distR="0" wp14:anchorId="650B52DB" wp14:editId="356768EC">
            <wp:extent cx="2813063" cy="781050"/>
            <wp:effectExtent l="0" t="0" r="6350" b="0"/>
            <wp:docPr id="1676291318" name="Picture 1" descr="Editor-in-Chief of BCPT – DS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tor-in-Chief of BCPT – DST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553" cy="8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74334" w14:textId="77777777" w:rsidR="00623DF4" w:rsidRPr="00447580" w:rsidRDefault="00623DF4" w:rsidP="00623DF4">
      <w:r w:rsidRPr="00447580">
        <w:rPr>
          <w:b/>
          <w:bCs/>
        </w:rPr>
        <w:lastRenderedPageBreak/>
        <w:t>Basic Pharmacoepidemiology Course</w:t>
      </w:r>
    </w:p>
    <w:p w14:paraId="6FDA108F" w14:textId="77777777" w:rsidR="00623DF4" w:rsidRPr="00447580" w:rsidRDefault="00623DF4" w:rsidP="00623DF4">
      <w:r w:rsidRPr="00447580">
        <w:t xml:space="preserve">This one-day course introduces participants to basic concepts and methods in pharmacoepidemiology. The course covers core study designs used to investigate the use, safety, and effectiveness of medicines in real-world settings, with emphasis on how to formulate a </w:t>
      </w:r>
      <w:proofErr w:type="spellStart"/>
      <w:r w:rsidRPr="00447580">
        <w:t>pharmacoepidemiological</w:t>
      </w:r>
      <w:proofErr w:type="spellEnd"/>
      <w:r w:rsidRPr="00447580">
        <w:t xml:space="preserve"> research question, choose an appropriate study design, define exposure and outcome measures, and identify potential sources of bias.</w:t>
      </w:r>
    </w:p>
    <w:p w14:paraId="1BBA22BB" w14:textId="77777777" w:rsidR="00623DF4" w:rsidRPr="00447580" w:rsidRDefault="00623DF4" w:rsidP="00623DF4">
      <w:r w:rsidRPr="00447580">
        <w:t>The course combines lectures, discussion, and active participant involvement. A dedicated “pitch a problem” session allows participants to present and discuss methodological challenges from their own or planned research projects and receive feedback from teachers and peers.</w:t>
      </w:r>
    </w:p>
    <w:p w14:paraId="4ED31F3F" w14:textId="77777777" w:rsidR="00623DF4" w:rsidRPr="00447580" w:rsidRDefault="00623DF4" w:rsidP="00623DF4">
      <w:r w:rsidRPr="00447580">
        <w:rPr>
          <w:b/>
          <w:bCs/>
        </w:rPr>
        <w:t>Topics covered</w:t>
      </w:r>
    </w:p>
    <w:p w14:paraId="1462A063" w14:textId="77777777" w:rsidR="00623DF4" w:rsidRPr="00447580" w:rsidRDefault="00623DF4" w:rsidP="00623DF4">
      <w:pPr>
        <w:numPr>
          <w:ilvl w:val="0"/>
          <w:numId w:val="2"/>
        </w:numPr>
        <w:spacing w:after="0"/>
      </w:pPr>
      <w:r>
        <w:t>Common measures</w:t>
      </w:r>
      <w:r w:rsidRPr="00447580">
        <w:t xml:space="preserve"> pharmacoepidemiology</w:t>
      </w:r>
    </w:p>
    <w:p w14:paraId="26AFAA0B" w14:textId="77777777" w:rsidR="00623DF4" w:rsidRPr="00437B7E" w:rsidRDefault="00623DF4" w:rsidP="00623DF4">
      <w:pPr>
        <w:numPr>
          <w:ilvl w:val="0"/>
          <w:numId w:val="2"/>
        </w:numPr>
        <w:spacing w:after="0"/>
      </w:pPr>
      <w:r w:rsidRPr="00437B7E">
        <w:t xml:space="preserve">Choosing the right study design </w:t>
      </w:r>
      <w:r>
        <w:t>including drug utilization, cohort, case control and self-controlled studies</w:t>
      </w:r>
    </w:p>
    <w:p w14:paraId="3C1B24B0" w14:textId="77777777" w:rsidR="00623DF4" w:rsidRPr="00437B7E" w:rsidRDefault="00623DF4" w:rsidP="00623DF4">
      <w:pPr>
        <w:numPr>
          <w:ilvl w:val="0"/>
          <w:numId w:val="2"/>
        </w:numPr>
        <w:spacing w:after="0"/>
      </w:pPr>
      <w:r w:rsidRPr="00437B7E">
        <w:t>Introduction to target trial emulation</w:t>
      </w:r>
    </w:p>
    <w:p w14:paraId="785B52B8" w14:textId="77777777" w:rsidR="00623DF4" w:rsidRPr="00447580" w:rsidRDefault="00623DF4" w:rsidP="00623DF4">
      <w:pPr>
        <w:numPr>
          <w:ilvl w:val="0"/>
          <w:numId w:val="2"/>
        </w:numPr>
        <w:spacing w:after="0"/>
      </w:pPr>
      <w:r>
        <w:t>Problems with</w:t>
      </w:r>
      <w:r w:rsidRPr="00447580">
        <w:t xml:space="preserve"> exposure and outcome ascertainment</w:t>
      </w:r>
    </w:p>
    <w:p w14:paraId="6281546D" w14:textId="77777777" w:rsidR="00623DF4" w:rsidRPr="00447580" w:rsidRDefault="00623DF4" w:rsidP="00623DF4">
      <w:pPr>
        <w:numPr>
          <w:ilvl w:val="0"/>
          <w:numId w:val="2"/>
        </w:numPr>
        <w:spacing w:after="0"/>
      </w:pPr>
      <w:r w:rsidRPr="00447580">
        <w:t xml:space="preserve">Systematic errors in </w:t>
      </w:r>
      <w:proofErr w:type="spellStart"/>
      <w:r w:rsidRPr="00447580">
        <w:t>pharmacoepidemiological</w:t>
      </w:r>
      <w:proofErr w:type="spellEnd"/>
      <w:r w:rsidRPr="00447580">
        <w:t xml:space="preserve"> studies</w:t>
      </w:r>
    </w:p>
    <w:p w14:paraId="1690D5E8" w14:textId="77777777" w:rsidR="00623DF4" w:rsidRPr="00447580" w:rsidRDefault="00623DF4" w:rsidP="00623DF4">
      <w:pPr>
        <w:numPr>
          <w:ilvl w:val="0"/>
          <w:numId w:val="2"/>
        </w:numPr>
        <w:spacing w:after="0"/>
      </w:pPr>
      <w:r w:rsidRPr="00447580">
        <w:t xml:space="preserve">Transparency and reproducibility in </w:t>
      </w:r>
      <w:proofErr w:type="spellStart"/>
      <w:r w:rsidRPr="00447580">
        <w:t>pharmacoepidemiological</w:t>
      </w:r>
      <w:proofErr w:type="spellEnd"/>
      <w:r w:rsidRPr="00447580">
        <w:t xml:space="preserve"> research</w:t>
      </w:r>
    </w:p>
    <w:p w14:paraId="43C9E2BC" w14:textId="77777777" w:rsidR="00623DF4" w:rsidRPr="00623DF4" w:rsidRDefault="00623DF4" w:rsidP="00623DF4">
      <w:pPr>
        <w:rPr>
          <w:b/>
          <w:bCs/>
          <w:sz w:val="4"/>
          <w:szCs w:val="4"/>
        </w:rPr>
      </w:pPr>
    </w:p>
    <w:p w14:paraId="4D6AE5DE" w14:textId="51A86224" w:rsidR="00623DF4" w:rsidRPr="00447580" w:rsidRDefault="00623DF4" w:rsidP="00623DF4">
      <w:r w:rsidRPr="00447580">
        <w:rPr>
          <w:b/>
          <w:bCs/>
        </w:rPr>
        <w:t>Aim</w:t>
      </w:r>
    </w:p>
    <w:p w14:paraId="19016585" w14:textId="77777777" w:rsidR="00623DF4" w:rsidRPr="00447580" w:rsidRDefault="00623DF4" w:rsidP="00623DF4">
      <w:r w:rsidRPr="00447580">
        <w:t xml:space="preserve">The aim of the course is to provide participants with basic knowledge of </w:t>
      </w:r>
      <w:proofErr w:type="spellStart"/>
      <w:r w:rsidRPr="00447580">
        <w:t>pharmacoepidemiological</w:t>
      </w:r>
      <w:proofErr w:type="spellEnd"/>
      <w:r w:rsidRPr="00447580">
        <w:t xml:space="preserve"> concepts and methods and to strengthen their ability to design, critically assess, and discuss studies on medication use, safety, and effectiveness.</w:t>
      </w:r>
    </w:p>
    <w:p w14:paraId="65A05A0F" w14:textId="77777777" w:rsidR="00623DF4" w:rsidRPr="00447580" w:rsidRDefault="00623DF4" w:rsidP="00623DF4">
      <w:r w:rsidRPr="00447580">
        <w:rPr>
          <w:b/>
          <w:bCs/>
        </w:rPr>
        <w:t>Intended learning outcomes</w:t>
      </w:r>
    </w:p>
    <w:p w14:paraId="53ABDADF" w14:textId="77777777" w:rsidR="00623DF4" w:rsidRPr="00447580" w:rsidRDefault="00623DF4" w:rsidP="00623DF4">
      <w:r w:rsidRPr="00447580">
        <w:t>After completing the course, participants will be able to:</w:t>
      </w:r>
    </w:p>
    <w:p w14:paraId="02F88CA9" w14:textId="77777777" w:rsidR="00623DF4" w:rsidRPr="00447580" w:rsidRDefault="00623DF4" w:rsidP="00623DF4">
      <w:pPr>
        <w:numPr>
          <w:ilvl w:val="0"/>
          <w:numId w:val="3"/>
        </w:numPr>
        <w:spacing w:after="0"/>
      </w:pPr>
      <w:r w:rsidRPr="00447580">
        <w:t>Describe the basic principles and scope of pharmacoepidemiology</w:t>
      </w:r>
    </w:p>
    <w:p w14:paraId="1438D53C" w14:textId="77777777" w:rsidR="00623DF4" w:rsidRPr="00447580" w:rsidRDefault="00623DF4" w:rsidP="00623DF4">
      <w:pPr>
        <w:numPr>
          <w:ilvl w:val="0"/>
          <w:numId w:val="3"/>
        </w:numPr>
        <w:spacing w:after="0"/>
      </w:pPr>
      <w:r w:rsidRPr="00447580">
        <w:t xml:space="preserve">Identify common </w:t>
      </w:r>
      <w:proofErr w:type="spellStart"/>
      <w:r w:rsidRPr="00447580">
        <w:t>pharmacoepidemiological</w:t>
      </w:r>
      <w:proofErr w:type="spellEnd"/>
      <w:r w:rsidRPr="00447580">
        <w:t xml:space="preserve"> study designs and their appropriate use</w:t>
      </w:r>
    </w:p>
    <w:p w14:paraId="63592E39" w14:textId="77777777" w:rsidR="00623DF4" w:rsidRPr="00447580" w:rsidRDefault="00623DF4" w:rsidP="00623DF4">
      <w:pPr>
        <w:numPr>
          <w:ilvl w:val="0"/>
          <w:numId w:val="3"/>
        </w:numPr>
        <w:spacing w:after="0"/>
      </w:pPr>
      <w:r w:rsidRPr="00447580">
        <w:t>Discuss how exposure and outcome definitions may affect study validity</w:t>
      </w:r>
    </w:p>
    <w:p w14:paraId="6F4F1FDD" w14:textId="77777777" w:rsidR="00623DF4" w:rsidRPr="00447580" w:rsidRDefault="00623DF4" w:rsidP="00623DF4">
      <w:pPr>
        <w:numPr>
          <w:ilvl w:val="0"/>
          <w:numId w:val="3"/>
        </w:numPr>
        <w:spacing w:after="0"/>
      </w:pPr>
      <w:proofErr w:type="spellStart"/>
      <w:r w:rsidRPr="00447580">
        <w:t>Recognise</w:t>
      </w:r>
      <w:proofErr w:type="spellEnd"/>
      <w:r w:rsidRPr="00447580">
        <w:t xml:space="preserve"> key sources of bias in </w:t>
      </w:r>
      <w:proofErr w:type="spellStart"/>
      <w:r w:rsidRPr="00447580">
        <w:t>pharmacoepidemiological</w:t>
      </w:r>
      <w:proofErr w:type="spellEnd"/>
      <w:r w:rsidRPr="00447580">
        <w:t xml:space="preserve"> research</w:t>
      </w:r>
    </w:p>
    <w:p w14:paraId="49865559" w14:textId="77777777" w:rsidR="00623DF4" w:rsidRPr="00447580" w:rsidRDefault="00623DF4" w:rsidP="00623DF4">
      <w:pPr>
        <w:numPr>
          <w:ilvl w:val="0"/>
          <w:numId w:val="3"/>
        </w:numPr>
        <w:spacing w:after="0"/>
      </w:pPr>
      <w:r w:rsidRPr="00447580">
        <w:t>Explain the basic principles of target trial emulation</w:t>
      </w:r>
    </w:p>
    <w:p w14:paraId="41851F1C" w14:textId="77777777" w:rsidR="00623DF4" w:rsidRDefault="00623DF4" w:rsidP="00623DF4">
      <w:pPr>
        <w:numPr>
          <w:ilvl w:val="0"/>
          <w:numId w:val="3"/>
        </w:numPr>
        <w:spacing w:after="0"/>
      </w:pPr>
      <w:r w:rsidRPr="00447580">
        <w:t xml:space="preserve">Reflect on transparency and reproducibility in the design and reporting of </w:t>
      </w:r>
      <w:proofErr w:type="spellStart"/>
      <w:r w:rsidRPr="00447580">
        <w:t>pharmacoepidemiological</w:t>
      </w:r>
      <w:proofErr w:type="spellEnd"/>
      <w:r w:rsidRPr="00447580">
        <w:t xml:space="preserve"> studies</w:t>
      </w:r>
    </w:p>
    <w:p w14:paraId="28E78579" w14:textId="77777777" w:rsidR="00623DF4" w:rsidRPr="00623DF4" w:rsidRDefault="00623DF4" w:rsidP="00623DF4">
      <w:pPr>
        <w:spacing w:after="0"/>
        <w:ind w:left="720"/>
        <w:rPr>
          <w:sz w:val="8"/>
          <w:szCs w:val="8"/>
        </w:rPr>
      </w:pPr>
    </w:p>
    <w:p w14:paraId="2B073E9A" w14:textId="77777777" w:rsidR="00623DF4" w:rsidRPr="00447580" w:rsidRDefault="00623DF4" w:rsidP="00623DF4">
      <w:r w:rsidRPr="00447580">
        <w:rPr>
          <w:b/>
          <w:bCs/>
        </w:rPr>
        <w:t>Learning methods</w:t>
      </w:r>
    </w:p>
    <w:p w14:paraId="4FF97415" w14:textId="77777777" w:rsidR="00623DF4" w:rsidRPr="00447580" w:rsidRDefault="00623DF4" w:rsidP="00623DF4">
      <w:r w:rsidRPr="00447580">
        <w:t xml:space="preserve">The course consists of lectures, plenary discussions, and an interactive project-pitch session. Participants are encouraged to bring a concrete research idea, methodological question, or design challenge from their own work, which can be discussed during the course. No prior </w:t>
      </w:r>
      <w:r w:rsidRPr="00447580">
        <w:lastRenderedPageBreak/>
        <w:t>experience with pharmacoepidemiology is required, but basic knowledge of epidemiology or clinical research methods is an advantage.</w:t>
      </w:r>
    </w:p>
    <w:p w14:paraId="2FE7372D" w14:textId="77777777" w:rsidR="00623DF4" w:rsidRPr="00447580" w:rsidRDefault="00623DF4" w:rsidP="00623DF4">
      <w:r w:rsidRPr="00447580">
        <w:rPr>
          <w:b/>
          <w:bCs/>
        </w:rPr>
        <w:t>Who can participate</w:t>
      </w:r>
    </w:p>
    <w:p w14:paraId="543C8241" w14:textId="77777777" w:rsidR="00623DF4" w:rsidRPr="00447580" w:rsidRDefault="00623DF4" w:rsidP="00623DF4">
      <w:r w:rsidRPr="00447580">
        <w:t xml:space="preserve">The course is intended for PhD students, junior researchers, clinicians, and other health researchers with an interest in pharmacoepidemiology, drug safety, medication use, or real-world evidence. </w:t>
      </w:r>
    </w:p>
    <w:p w14:paraId="305DC757" w14:textId="77777777" w:rsidR="00623DF4" w:rsidRPr="00447580" w:rsidRDefault="00623DF4" w:rsidP="00623DF4">
      <w:r w:rsidRPr="00447580">
        <w:rPr>
          <w:b/>
          <w:bCs/>
        </w:rPr>
        <w:t>Evaluation and assessment</w:t>
      </w:r>
    </w:p>
    <w:p w14:paraId="18B51246" w14:textId="77777777" w:rsidR="00623DF4" w:rsidRDefault="00623DF4" w:rsidP="00623DF4">
      <w:r w:rsidRPr="00447580">
        <w:t xml:space="preserve">There is no formal examination or grading. Course completion is based on attendance and active participation in the lectures, discussions, and project-pitch session. </w:t>
      </w:r>
    </w:p>
    <w:p w14:paraId="771FF664" w14:textId="77777777" w:rsidR="0076257D" w:rsidRDefault="0076257D" w:rsidP="0076257D"/>
    <w:p w14:paraId="33149C18" w14:textId="77777777" w:rsidR="00623DF4" w:rsidRPr="00623DF4" w:rsidRDefault="00623DF4" w:rsidP="0076257D"/>
    <w:sectPr w:rsidR="00623DF4" w:rsidRPr="00623DF4" w:rsidSect="00623D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8A1F" w14:textId="77777777" w:rsidR="00A57794" w:rsidRDefault="00A57794" w:rsidP="001B7142">
      <w:pPr>
        <w:spacing w:after="0" w:line="240" w:lineRule="auto"/>
      </w:pPr>
      <w:r>
        <w:separator/>
      </w:r>
    </w:p>
  </w:endnote>
  <w:endnote w:type="continuationSeparator" w:id="0">
    <w:p w14:paraId="077645D3" w14:textId="77777777" w:rsidR="00A57794" w:rsidRDefault="00A57794" w:rsidP="001B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B74A" w14:textId="77777777" w:rsidR="003B3D46" w:rsidRDefault="003B3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BE0D" w14:textId="77777777" w:rsidR="001B7142" w:rsidRDefault="001B71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F177" w14:textId="77777777" w:rsidR="003B3D46" w:rsidRDefault="003B3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9047" w14:textId="77777777" w:rsidR="00A57794" w:rsidRDefault="00A57794" w:rsidP="001B7142">
      <w:pPr>
        <w:spacing w:after="0" w:line="240" w:lineRule="auto"/>
      </w:pPr>
      <w:r>
        <w:separator/>
      </w:r>
    </w:p>
  </w:footnote>
  <w:footnote w:type="continuationSeparator" w:id="0">
    <w:p w14:paraId="317240B6" w14:textId="77777777" w:rsidR="00A57794" w:rsidRDefault="00A57794" w:rsidP="001B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80E5" w14:textId="77777777" w:rsidR="003B3D46" w:rsidRDefault="003B3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B7DF" w14:textId="77777777" w:rsidR="003B3D46" w:rsidRDefault="003B3D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B308" w14:textId="77777777" w:rsidR="003B3D46" w:rsidRDefault="003B3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33E1"/>
    <w:multiLevelType w:val="multilevel"/>
    <w:tmpl w:val="1B68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1C2D88"/>
    <w:multiLevelType w:val="multilevel"/>
    <w:tmpl w:val="051C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A490D"/>
    <w:multiLevelType w:val="multilevel"/>
    <w:tmpl w:val="638E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381517">
    <w:abstractNumId w:val="0"/>
  </w:num>
  <w:num w:numId="2" w16cid:durableId="83841013">
    <w:abstractNumId w:val="2"/>
  </w:num>
  <w:num w:numId="3" w16cid:durableId="140922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58"/>
    <w:rsid w:val="00037A28"/>
    <w:rsid w:val="000652A7"/>
    <w:rsid w:val="00066217"/>
    <w:rsid w:val="00070C93"/>
    <w:rsid w:val="00072C21"/>
    <w:rsid w:val="00095536"/>
    <w:rsid w:val="000B2B56"/>
    <w:rsid w:val="000F6782"/>
    <w:rsid w:val="00111C77"/>
    <w:rsid w:val="00116F0A"/>
    <w:rsid w:val="00134183"/>
    <w:rsid w:val="00136947"/>
    <w:rsid w:val="00163281"/>
    <w:rsid w:val="001778EC"/>
    <w:rsid w:val="001A139F"/>
    <w:rsid w:val="001B7142"/>
    <w:rsid w:val="002077DF"/>
    <w:rsid w:val="00223B9E"/>
    <w:rsid w:val="002274A9"/>
    <w:rsid w:val="002334BD"/>
    <w:rsid w:val="00262064"/>
    <w:rsid w:val="00271577"/>
    <w:rsid w:val="0029374C"/>
    <w:rsid w:val="002B6D2C"/>
    <w:rsid w:val="002F50DE"/>
    <w:rsid w:val="00304A23"/>
    <w:rsid w:val="0031009F"/>
    <w:rsid w:val="00365753"/>
    <w:rsid w:val="003750F5"/>
    <w:rsid w:val="00391C90"/>
    <w:rsid w:val="003B3D46"/>
    <w:rsid w:val="003B6FB6"/>
    <w:rsid w:val="003E2CF0"/>
    <w:rsid w:val="004244A2"/>
    <w:rsid w:val="004272CE"/>
    <w:rsid w:val="004412FB"/>
    <w:rsid w:val="00456935"/>
    <w:rsid w:val="00460B60"/>
    <w:rsid w:val="0048345B"/>
    <w:rsid w:val="00485415"/>
    <w:rsid w:val="004A4267"/>
    <w:rsid w:val="004D553F"/>
    <w:rsid w:val="004E47FD"/>
    <w:rsid w:val="00507F90"/>
    <w:rsid w:val="0052357B"/>
    <w:rsid w:val="005447C3"/>
    <w:rsid w:val="00551EA5"/>
    <w:rsid w:val="00557E92"/>
    <w:rsid w:val="005612B0"/>
    <w:rsid w:val="00564B53"/>
    <w:rsid w:val="00586914"/>
    <w:rsid w:val="005F3462"/>
    <w:rsid w:val="005F4683"/>
    <w:rsid w:val="006224A6"/>
    <w:rsid w:val="00623DF4"/>
    <w:rsid w:val="0068376C"/>
    <w:rsid w:val="006913EE"/>
    <w:rsid w:val="006C2886"/>
    <w:rsid w:val="006C3ED6"/>
    <w:rsid w:val="006D4EE0"/>
    <w:rsid w:val="006E39D1"/>
    <w:rsid w:val="00705902"/>
    <w:rsid w:val="007126F5"/>
    <w:rsid w:val="00741D3E"/>
    <w:rsid w:val="007543DF"/>
    <w:rsid w:val="0076257D"/>
    <w:rsid w:val="007666CE"/>
    <w:rsid w:val="007A1DA0"/>
    <w:rsid w:val="007B0664"/>
    <w:rsid w:val="007C6971"/>
    <w:rsid w:val="007F1C58"/>
    <w:rsid w:val="008145F2"/>
    <w:rsid w:val="00866606"/>
    <w:rsid w:val="008A4DAA"/>
    <w:rsid w:val="008A6008"/>
    <w:rsid w:val="008B2EEA"/>
    <w:rsid w:val="008D6B14"/>
    <w:rsid w:val="008D7AA7"/>
    <w:rsid w:val="008E43AA"/>
    <w:rsid w:val="00901512"/>
    <w:rsid w:val="00902E73"/>
    <w:rsid w:val="00916E14"/>
    <w:rsid w:val="00917199"/>
    <w:rsid w:val="0094034D"/>
    <w:rsid w:val="00964703"/>
    <w:rsid w:val="009835DC"/>
    <w:rsid w:val="009B4EB4"/>
    <w:rsid w:val="009C28C4"/>
    <w:rsid w:val="009C6E0E"/>
    <w:rsid w:val="009E3911"/>
    <w:rsid w:val="00A01CA5"/>
    <w:rsid w:val="00A05676"/>
    <w:rsid w:val="00A34349"/>
    <w:rsid w:val="00A53782"/>
    <w:rsid w:val="00A56A5E"/>
    <w:rsid w:val="00A57794"/>
    <w:rsid w:val="00AB32D6"/>
    <w:rsid w:val="00AC52F2"/>
    <w:rsid w:val="00B14483"/>
    <w:rsid w:val="00B16A09"/>
    <w:rsid w:val="00B455DA"/>
    <w:rsid w:val="00B541EE"/>
    <w:rsid w:val="00B81108"/>
    <w:rsid w:val="00BC3CA8"/>
    <w:rsid w:val="00BE418D"/>
    <w:rsid w:val="00C31CA5"/>
    <w:rsid w:val="00C45D2A"/>
    <w:rsid w:val="00C64D38"/>
    <w:rsid w:val="00C9425B"/>
    <w:rsid w:val="00D62184"/>
    <w:rsid w:val="00D87128"/>
    <w:rsid w:val="00D96224"/>
    <w:rsid w:val="00DD1173"/>
    <w:rsid w:val="00DE48E5"/>
    <w:rsid w:val="00E01968"/>
    <w:rsid w:val="00E315D7"/>
    <w:rsid w:val="00E3209F"/>
    <w:rsid w:val="00E54553"/>
    <w:rsid w:val="00E6322B"/>
    <w:rsid w:val="00E63D07"/>
    <w:rsid w:val="00EA2C2D"/>
    <w:rsid w:val="00ED513B"/>
    <w:rsid w:val="00EE3027"/>
    <w:rsid w:val="00F4142D"/>
    <w:rsid w:val="00F6154F"/>
    <w:rsid w:val="00F81F3C"/>
    <w:rsid w:val="00F87DA2"/>
    <w:rsid w:val="00FA729B"/>
    <w:rsid w:val="00FE4000"/>
    <w:rsid w:val="00FE7676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AD50E"/>
  <w15:chartTrackingRefBased/>
  <w15:docId w15:val="{D228EBE7-D633-4052-B603-8E7CF01D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58"/>
    <w:rPr>
      <w:rFonts w:eastAsiaTheme="minorEastAsia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C5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05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9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902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902"/>
    <w:rPr>
      <w:rFonts w:eastAsiaTheme="minorEastAsia"/>
      <w:b/>
      <w:bCs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456935"/>
    <w:pPr>
      <w:spacing w:after="0" w:line="240" w:lineRule="auto"/>
    </w:pPr>
    <w:rPr>
      <w:rFonts w:eastAsiaTheme="minorEastAsia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1B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142"/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B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142"/>
    <w:rPr>
      <w:rFonts w:eastAsiaTheme="minorEastAsia"/>
      <w:lang w:val="en-US" w:eastAsia="zh-CN"/>
    </w:rPr>
  </w:style>
  <w:style w:type="table" w:styleId="GridTable4-Accent1">
    <w:name w:val="Grid Table 4 Accent 1"/>
    <w:basedOn w:val="TableNormal"/>
    <w:uiPriority w:val="49"/>
    <w:rsid w:val="0013418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  <clbl:label id="{f743b317-4758-44cb-8b65-8b43e4619766}" enabled="1" method="Standard" siteId="{fdfed7bd-9f6a-44a1-b694-6e39c468c1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2928</Characters>
  <Application>Microsoft Office Word</Application>
  <DocSecurity>0</DocSecurity>
  <Lines>24</Lines>
  <Paragraphs>6</Paragraphs>
  <ScaleCrop>false</ScaleCrop>
  <Company>SDU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Christine Kildegaard Jensen</dc:creator>
  <cp:keywords/>
  <dc:description/>
  <cp:lastModifiedBy>Helene Christine Kildegaard Jensen</cp:lastModifiedBy>
  <cp:revision>7</cp:revision>
  <dcterms:created xsi:type="dcterms:W3CDTF">2026-06-29T06:35:00Z</dcterms:created>
  <dcterms:modified xsi:type="dcterms:W3CDTF">2026-06-30T13:15:00Z</dcterms:modified>
</cp:coreProperties>
</file>